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EA64D" w14:textId="26B428F7" w:rsidR="00DF131F" w:rsidRDefault="00FB5AB3" w:rsidP="00DF131F">
      <w:pPr>
        <w:rPr>
          <w:sz w:val="32"/>
          <w:szCs w:val="32"/>
        </w:rPr>
      </w:pPr>
      <w:r>
        <w:rPr>
          <w:sz w:val="32"/>
          <w:szCs w:val="32"/>
        </w:rPr>
        <w:t xml:space="preserve">The Academy of Nutrition and Dietetics </w:t>
      </w:r>
      <w:r w:rsidR="007D2B98">
        <w:rPr>
          <w:sz w:val="32"/>
          <w:szCs w:val="32"/>
        </w:rPr>
        <w:t>identify March as National</w:t>
      </w:r>
      <w:r w:rsidR="000A49AC">
        <w:rPr>
          <w:sz w:val="32"/>
          <w:szCs w:val="32"/>
        </w:rPr>
        <w:t xml:space="preserve"> Nutrition M</w:t>
      </w:r>
      <w:r w:rsidR="00DF131F">
        <w:rPr>
          <w:sz w:val="32"/>
          <w:szCs w:val="32"/>
        </w:rPr>
        <w:t>onth</w:t>
      </w:r>
      <w:r w:rsidR="007D2B98">
        <w:rPr>
          <w:sz w:val="32"/>
          <w:szCs w:val="32"/>
        </w:rPr>
        <w:t xml:space="preserve"> (</w:t>
      </w:r>
      <w:hyperlink r:id="rId6" w:history="1">
        <w:r w:rsidR="007D2B98" w:rsidRPr="008D210E">
          <w:rPr>
            <w:rStyle w:val="Hyperlink"/>
            <w:sz w:val="32"/>
            <w:szCs w:val="32"/>
          </w:rPr>
          <w:t>https://www.eatright.org/about-national-nutrition-month</w:t>
        </w:r>
      </w:hyperlink>
      <w:r w:rsidR="007D2B98">
        <w:rPr>
          <w:sz w:val="32"/>
          <w:szCs w:val="32"/>
        </w:rPr>
        <w:t xml:space="preserve">) promoting development of informed food choices and healthful eating habits. Occupational therapists can address these issues in a variety of settings. </w:t>
      </w:r>
      <w:r w:rsidR="00DF131F">
        <w:rPr>
          <w:sz w:val="32"/>
          <w:szCs w:val="32"/>
        </w:rPr>
        <w:t xml:space="preserve">A skill learned early on, </w:t>
      </w:r>
      <w:r w:rsidR="000A49AC">
        <w:rPr>
          <w:sz w:val="32"/>
          <w:szCs w:val="32"/>
        </w:rPr>
        <w:t xml:space="preserve">eating </w:t>
      </w:r>
      <w:r w:rsidR="00DF131F">
        <w:rPr>
          <w:sz w:val="32"/>
          <w:szCs w:val="32"/>
        </w:rPr>
        <w:t>proble</w:t>
      </w:r>
      <w:r w:rsidR="000A49AC">
        <w:rPr>
          <w:sz w:val="32"/>
          <w:szCs w:val="32"/>
        </w:rPr>
        <w:t xml:space="preserve">ms and challenges </w:t>
      </w:r>
      <w:r w:rsidR="007D2B98">
        <w:rPr>
          <w:sz w:val="32"/>
          <w:szCs w:val="32"/>
        </w:rPr>
        <w:t>happen throughout the life span</w:t>
      </w:r>
      <w:r w:rsidR="000A49AC">
        <w:rPr>
          <w:sz w:val="32"/>
          <w:szCs w:val="32"/>
        </w:rPr>
        <w:t xml:space="preserve">. This review will focus </w:t>
      </w:r>
      <w:r w:rsidR="007D2B98">
        <w:rPr>
          <w:sz w:val="32"/>
          <w:szCs w:val="32"/>
        </w:rPr>
        <w:t>on pediatric</w:t>
      </w:r>
      <w:r w:rsidR="00DF131F">
        <w:rPr>
          <w:sz w:val="32"/>
          <w:szCs w:val="32"/>
        </w:rPr>
        <w:t xml:space="preserve"> clients who are picky eater</w:t>
      </w:r>
      <w:r w:rsidR="00F7694E">
        <w:rPr>
          <w:sz w:val="32"/>
          <w:szCs w:val="32"/>
        </w:rPr>
        <w:t>s and</w:t>
      </w:r>
      <w:bookmarkStart w:id="0" w:name="_GoBack"/>
      <w:bookmarkEnd w:id="0"/>
      <w:r w:rsidR="00B661B5">
        <w:rPr>
          <w:sz w:val="32"/>
          <w:szCs w:val="32"/>
        </w:rPr>
        <w:t xml:space="preserve"> adults with eating disorders</w:t>
      </w:r>
      <w:r w:rsidR="00DF131F">
        <w:rPr>
          <w:sz w:val="32"/>
          <w:szCs w:val="32"/>
        </w:rPr>
        <w:t>.</w:t>
      </w:r>
    </w:p>
    <w:p w14:paraId="577E92DD" w14:textId="77777777" w:rsidR="00DF131F" w:rsidRDefault="00DF131F" w:rsidP="00DF131F">
      <w:pPr>
        <w:rPr>
          <w:sz w:val="32"/>
          <w:szCs w:val="32"/>
        </w:rPr>
      </w:pPr>
    </w:p>
    <w:p w14:paraId="2DD51FA6" w14:textId="581556F9" w:rsidR="00DF131F" w:rsidRDefault="00DF131F" w:rsidP="00DF131F">
      <w:pPr>
        <w:rPr>
          <w:sz w:val="32"/>
          <w:szCs w:val="32"/>
        </w:rPr>
      </w:pPr>
      <w:r>
        <w:rPr>
          <w:sz w:val="32"/>
          <w:szCs w:val="32"/>
        </w:rPr>
        <w:t>Children need sufficient caloric intake and adequate nutrients to develop and maintain health and</w:t>
      </w:r>
      <w:r w:rsidR="00AE5F6D">
        <w:rPr>
          <w:sz w:val="32"/>
          <w:szCs w:val="32"/>
        </w:rPr>
        <w:t xml:space="preserve"> </w:t>
      </w:r>
      <w:r w:rsidR="007D2B98">
        <w:rPr>
          <w:sz w:val="32"/>
          <w:szCs w:val="32"/>
        </w:rPr>
        <w:t>well-being</w:t>
      </w:r>
      <w:r>
        <w:rPr>
          <w:sz w:val="32"/>
          <w:szCs w:val="32"/>
        </w:rPr>
        <w:t xml:space="preserve">. </w:t>
      </w:r>
      <w:r w:rsidR="00153429">
        <w:rPr>
          <w:sz w:val="32"/>
          <w:szCs w:val="32"/>
        </w:rPr>
        <w:t xml:space="preserve">If a child is a picky eater, </w:t>
      </w:r>
      <w:r w:rsidR="000A49AC">
        <w:rPr>
          <w:sz w:val="32"/>
          <w:szCs w:val="32"/>
        </w:rPr>
        <w:t xml:space="preserve">it can jeopardize health and make </w:t>
      </w:r>
      <w:r w:rsidR="0041435B">
        <w:rPr>
          <w:sz w:val="32"/>
          <w:szCs w:val="32"/>
        </w:rPr>
        <w:t xml:space="preserve">dinnertime </w:t>
      </w:r>
      <w:r w:rsidR="00153429">
        <w:rPr>
          <w:sz w:val="32"/>
          <w:szCs w:val="32"/>
        </w:rPr>
        <w:t xml:space="preserve">very stressful for all. </w:t>
      </w:r>
      <w:r w:rsidR="00AE5F6D">
        <w:rPr>
          <w:sz w:val="32"/>
          <w:szCs w:val="32"/>
        </w:rPr>
        <w:t xml:space="preserve">Picky eating is a rejection of food or a preference for a limited range of liked foods. </w:t>
      </w:r>
      <w:r>
        <w:rPr>
          <w:sz w:val="32"/>
          <w:szCs w:val="32"/>
        </w:rPr>
        <w:t xml:space="preserve">25% of typically developing children and 80% of children with complex medical concerns have eating difficulties. </w:t>
      </w:r>
      <w:r w:rsidR="00E13EFE">
        <w:rPr>
          <w:sz w:val="32"/>
          <w:szCs w:val="32"/>
        </w:rPr>
        <w:t xml:space="preserve">(Gettier, </w:t>
      </w:r>
      <w:r w:rsidR="007D2B98">
        <w:rPr>
          <w:sz w:val="32"/>
          <w:szCs w:val="32"/>
        </w:rPr>
        <w:t xml:space="preserve">2022) </w:t>
      </w:r>
      <w:r>
        <w:rPr>
          <w:sz w:val="32"/>
          <w:szCs w:val="32"/>
        </w:rPr>
        <w:t xml:space="preserve">There is a new and valid Pediatric Eating Assessment Tool (PediEAT) to use </w:t>
      </w:r>
      <w:r w:rsidR="000A49AC">
        <w:rPr>
          <w:sz w:val="32"/>
          <w:szCs w:val="32"/>
        </w:rPr>
        <w:t xml:space="preserve">with children from 6 months to </w:t>
      </w:r>
      <w:r>
        <w:rPr>
          <w:sz w:val="32"/>
          <w:szCs w:val="32"/>
        </w:rPr>
        <w:t xml:space="preserve">7 years. </w:t>
      </w:r>
      <w:r w:rsidR="007D2B98">
        <w:rPr>
          <w:sz w:val="32"/>
          <w:szCs w:val="32"/>
        </w:rPr>
        <w:t>It,</w:t>
      </w:r>
      <w:r w:rsidR="00E13EFE">
        <w:rPr>
          <w:sz w:val="32"/>
          <w:szCs w:val="32"/>
        </w:rPr>
        <w:t xml:space="preserve"> along with other tools, </w:t>
      </w:r>
      <w:r>
        <w:rPr>
          <w:sz w:val="32"/>
          <w:szCs w:val="32"/>
        </w:rPr>
        <w:t>is available at the Feeding Flock website</w:t>
      </w:r>
      <w:r w:rsidR="00883648">
        <w:rPr>
          <w:sz w:val="32"/>
          <w:szCs w:val="32"/>
        </w:rPr>
        <w:t xml:space="preserve"> (</w:t>
      </w:r>
      <w:hyperlink r:id="rId7" w:history="1">
        <w:r w:rsidR="00883648" w:rsidRPr="008D210E">
          <w:rPr>
            <w:rStyle w:val="Hyperlink"/>
            <w:sz w:val="32"/>
            <w:szCs w:val="32"/>
          </w:rPr>
          <w:t>https://feedingflockteam.org/</w:t>
        </w:r>
      </w:hyperlink>
      <w:r w:rsidR="007D2B98">
        <w:rPr>
          <w:sz w:val="32"/>
          <w:szCs w:val="32"/>
        </w:rPr>
        <w:t>)</w:t>
      </w:r>
      <w:r>
        <w:rPr>
          <w:sz w:val="32"/>
          <w:szCs w:val="32"/>
        </w:rPr>
        <w:t>.</w:t>
      </w:r>
      <w:r w:rsidR="00C7345E">
        <w:rPr>
          <w:sz w:val="32"/>
          <w:szCs w:val="32"/>
        </w:rPr>
        <w:t xml:space="preserve"> </w:t>
      </w:r>
      <w:r w:rsidR="00E13EFE">
        <w:rPr>
          <w:sz w:val="32"/>
          <w:szCs w:val="32"/>
        </w:rPr>
        <w:t>The PediEAT addresses</w:t>
      </w:r>
      <w:r w:rsidR="00C7345E">
        <w:rPr>
          <w:sz w:val="32"/>
          <w:szCs w:val="32"/>
        </w:rPr>
        <w:t xml:space="preserve"> physiological symptoms, problematic mealtime behavior, selective restrictive eating, and oral processing. In each area, it is marked as no concern, concern or high concern by parents. </w:t>
      </w:r>
      <w:r w:rsidR="007C4E8D">
        <w:rPr>
          <w:sz w:val="32"/>
          <w:szCs w:val="32"/>
        </w:rPr>
        <w:t>The Sensory Profile (Dunn, 1996) is used, with a correlation related to tactile play scores, “avoids getting messy”. A pilot study was conducted with 4 children using sensory play interventions to address problematic mealtime behaviors and selective restrictive</w:t>
      </w:r>
      <w:r w:rsidR="00153429">
        <w:rPr>
          <w:sz w:val="32"/>
          <w:szCs w:val="32"/>
        </w:rPr>
        <w:t xml:space="preserve"> eating. </w:t>
      </w:r>
      <w:r w:rsidR="007D2B98">
        <w:rPr>
          <w:sz w:val="32"/>
          <w:szCs w:val="32"/>
        </w:rPr>
        <w:t xml:space="preserve">Therapist coached parents to build into daily activities reading a book composed of sensory components. By using real food, children had positive sensory experiences. </w:t>
      </w:r>
      <w:r w:rsidR="00153429">
        <w:rPr>
          <w:sz w:val="32"/>
          <w:szCs w:val="32"/>
        </w:rPr>
        <w:t xml:space="preserve">The 4-6 week intervention helped children to accept new foods and lead </w:t>
      </w:r>
      <w:r w:rsidR="00F266AA">
        <w:rPr>
          <w:sz w:val="32"/>
          <w:szCs w:val="32"/>
        </w:rPr>
        <w:t xml:space="preserve">to increased oral explorations. They </w:t>
      </w:r>
      <w:r w:rsidR="00153429">
        <w:rPr>
          <w:sz w:val="32"/>
          <w:szCs w:val="32"/>
        </w:rPr>
        <w:t>be</w:t>
      </w:r>
      <w:r w:rsidR="00F266AA">
        <w:rPr>
          <w:sz w:val="32"/>
          <w:szCs w:val="32"/>
        </w:rPr>
        <w:t>came</w:t>
      </w:r>
      <w:r w:rsidR="00153429">
        <w:rPr>
          <w:sz w:val="32"/>
          <w:szCs w:val="32"/>
        </w:rPr>
        <w:t xml:space="preserve"> more comfortable with touching and more willing to taste. </w:t>
      </w:r>
      <w:r w:rsidR="00AE5F6D">
        <w:rPr>
          <w:sz w:val="32"/>
          <w:szCs w:val="32"/>
        </w:rPr>
        <w:t xml:space="preserve">A survey of Australian healthcare professionals about practice pertaining to picky eating in children showed that occupational therapists did not use standardized assessments, but rather clinical observation and workplace specific developed tools. Therapists </w:t>
      </w:r>
      <w:r w:rsidR="00413F30">
        <w:rPr>
          <w:sz w:val="32"/>
          <w:szCs w:val="32"/>
        </w:rPr>
        <w:t xml:space="preserve">reported that clinical guidelines, specialized training, and having more resources for caregivers (parents) would be helpful. </w:t>
      </w:r>
    </w:p>
    <w:p w14:paraId="6116D33B" w14:textId="77777777" w:rsidR="00413F30" w:rsidRDefault="00413F30" w:rsidP="00DF131F">
      <w:pPr>
        <w:rPr>
          <w:sz w:val="32"/>
          <w:szCs w:val="32"/>
        </w:rPr>
      </w:pPr>
    </w:p>
    <w:p w14:paraId="41B6559C" w14:textId="6DEDFEC5" w:rsidR="00BF3DC3" w:rsidRPr="00F266AA" w:rsidRDefault="00413F30" w:rsidP="00F266AA">
      <w:pPr>
        <w:widowControl w:val="0"/>
        <w:autoSpaceDE w:val="0"/>
        <w:autoSpaceDN w:val="0"/>
        <w:adjustRightInd w:val="0"/>
        <w:spacing w:after="240" w:line="300" w:lineRule="atLeast"/>
        <w:rPr>
          <w:rFonts w:eastAsiaTheme="minorEastAsia"/>
          <w:color w:val="000000"/>
          <w:sz w:val="32"/>
          <w:szCs w:val="32"/>
        </w:rPr>
      </w:pPr>
      <w:r>
        <w:rPr>
          <w:sz w:val="32"/>
          <w:szCs w:val="32"/>
        </w:rPr>
        <w:lastRenderedPageBreak/>
        <w:t>Eating disorders (ED) are defined as “persistent disturbance of e</w:t>
      </w:r>
      <w:r w:rsidR="00464D2B">
        <w:rPr>
          <w:sz w:val="32"/>
          <w:szCs w:val="32"/>
        </w:rPr>
        <w:t>ating or eating related behavio</w:t>
      </w:r>
      <w:r>
        <w:rPr>
          <w:sz w:val="32"/>
          <w:szCs w:val="32"/>
        </w:rPr>
        <w:t>rs, such as insufficient or excessive food consumption, resulting in physical impairments and psychological dysfunction”  (</w:t>
      </w:r>
      <w:r w:rsidR="00F266AA">
        <w:rPr>
          <w:sz w:val="32"/>
          <w:szCs w:val="32"/>
        </w:rPr>
        <w:t>Mack, 2019</w:t>
      </w:r>
      <w:r w:rsidR="000A49AC">
        <w:rPr>
          <w:sz w:val="32"/>
          <w:szCs w:val="32"/>
        </w:rPr>
        <w:t xml:space="preserve">) </w:t>
      </w:r>
      <w:r w:rsidR="00A20E13">
        <w:rPr>
          <w:sz w:val="32"/>
          <w:szCs w:val="32"/>
        </w:rPr>
        <w:t xml:space="preserve">Eating disorders have the highest mortality rates of all psychiatric disorders, with a minimum of 5%, increasing to 20% for those who coped for 20 years, with more rapid increase with each successive decade. (Mack, 2019) </w:t>
      </w:r>
      <w:r w:rsidR="000A49AC">
        <w:rPr>
          <w:sz w:val="32"/>
          <w:szCs w:val="32"/>
        </w:rPr>
        <w:t xml:space="preserve">The Australian government sponsored </w:t>
      </w:r>
      <w:r>
        <w:rPr>
          <w:sz w:val="32"/>
          <w:szCs w:val="32"/>
        </w:rPr>
        <w:t xml:space="preserve">a rapid review </w:t>
      </w:r>
      <w:r w:rsidR="00F266AA">
        <w:rPr>
          <w:sz w:val="32"/>
          <w:szCs w:val="32"/>
        </w:rPr>
        <w:t>of 284</w:t>
      </w:r>
      <w:r w:rsidR="000A49AC">
        <w:rPr>
          <w:sz w:val="32"/>
          <w:szCs w:val="32"/>
        </w:rPr>
        <w:t xml:space="preserve"> studies </w:t>
      </w:r>
      <w:r w:rsidR="00F266AA">
        <w:rPr>
          <w:sz w:val="32"/>
          <w:szCs w:val="32"/>
        </w:rPr>
        <w:t xml:space="preserve">from 2009 to 2021 </w:t>
      </w:r>
      <w:r>
        <w:rPr>
          <w:sz w:val="32"/>
          <w:szCs w:val="32"/>
        </w:rPr>
        <w:t xml:space="preserve">to identify what might put people at higher risk for developing eating disorders. </w:t>
      </w:r>
      <w:r w:rsidR="00F266AA">
        <w:rPr>
          <w:sz w:val="32"/>
          <w:szCs w:val="32"/>
        </w:rPr>
        <w:t xml:space="preserve">The review was </w:t>
      </w:r>
      <w:r w:rsidR="000A49AC">
        <w:rPr>
          <w:sz w:val="32"/>
          <w:szCs w:val="32"/>
        </w:rPr>
        <w:t xml:space="preserve">to inform the </w:t>
      </w:r>
      <w:r w:rsidR="000A49AC" w:rsidRPr="000A49AC">
        <w:rPr>
          <w:rFonts w:eastAsiaTheme="minorEastAsia"/>
          <w:color w:val="000000"/>
          <w:sz w:val="32"/>
          <w:szCs w:val="32"/>
        </w:rPr>
        <w:t xml:space="preserve">National Eating Disorder Research and Translation Strategy 2021–2031. </w:t>
      </w:r>
      <w:r>
        <w:rPr>
          <w:sz w:val="32"/>
          <w:szCs w:val="32"/>
        </w:rPr>
        <w:t>There w</w:t>
      </w:r>
      <w:r w:rsidR="00B661B5">
        <w:rPr>
          <w:sz w:val="32"/>
          <w:szCs w:val="32"/>
        </w:rPr>
        <w:t>ere nine categories identified; genetic, gastrointestinal micro</w:t>
      </w:r>
      <w:r w:rsidR="00F266AA">
        <w:rPr>
          <w:sz w:val="32"/>
          <w:szCs w:val="32"/>
        </w:rPr>
        <w:t xml:space="preserve"> </w:t>
      </w:r>
      <w:r w:rsidR="00B661B5">
        <w:rPr>
          <w:sz w:val="32"/>
          <w:szCs w:val="32"/>
        </w:rPr>
        <w:t>biota and autoimmune reactions, childhood and early adolescent experiences, personality traits, gender differences, socio-economic status, ethnic minority, body image and social influence, and elite sports and excessive exercise.</w:t>
      </w:r>
      <w:r w:rsidR="00F266AA">
        <w:rPr>
          <w:sz w:val="32"/>
          <w:szCs w:val="32"/>
        </w:rPr>
        <w:t xml:space="preserve"> The hope is that contributing factors identified might lead to </w:t>
      </w:r>
      <w:r w:rsidR="00A20E13">
        <w:rPr>
          <w:sz w:val="32"/>
          <w:szCs w:val="32"/>
        </w:rPr>
        <w:t xml:space="preserve">building awareness to better identify for early treatment, establish </w:t>
      </w:r>
      <w:r w:rsidR="00F266AA">
        <w:rPr>
          <w:sz w:val="32"/>
          <w:szCs w:val="32"/>
        </w:rPr>
        <w:t>preventative measures</w:t>
      </w:r>
      <w:r w:rsidR="00A20E13">
        <w:rPr>
          <w:sz w:val="32"/>
          <w:szCs w:val="32"/>
        </w:rPr>
        <w:t>,</w:t>
      </w:r>
      <w:r w:rsidR="00F266AA">
        <w:rPr>
          <w:sz w:val="32"/>
          <w:szCs w:val="32"/>
        </w:rPr>
        <w:t xml:space="preserve"> and guide development of efficacious treatments.</w:t>
      </w:r>
    </w:p>
    <w:p w14:paraId="771C1482" w14:textId="29AF5853" w:rsidR="00464D2B" w:rsidRPr="00464D2B" w:rsidRDefault="00413F30" w:rsidP="00464D2B">
      <w:pPr>
        <w:widowControl w:val="0"/>
        <w:autoSpaceDE w:val="0"/>
        <w:autoSpaceDN w:val="0"/>
        <w:adjustRightInd w:val="0"/>
        <w:spacing w:after="240" w:line="300" w:lineRule="atLeast"/>
        <w:rPr>
          <w:rFonts w:eastAsiaTheme="minorEastAsia"/>
          <w:color w:val="000000"/>
          <w:sz w:val="32"/>
          <w:szCs w:val="32"/>
        </w:rPr>
      </w:pPr>
      <w:r>
        <w:rPr>
          <w:sz w:val="32"/>
          <w:szCs w:val="32"/>
        </w:rPr>
        <w:t xml:space="preserve">Occupational therapists have a significant role to play on </w:t>
      </w:r>
      <w:r w:rsidR="0032713F">
        <w:rPr>
          <w:sz w:val="32"/>
          <w:szCs w:val="32"/>
        </w:rPr>
        <w:t xml:space="preserve">eating disorder </w:t>
      </w:r>
      <w:r w:rsidR="0032713F" w:rsidRPr="0032713F">
        <w:rPr>
          <w:sz w:val="32"/>
          <w:szCs w:val="32"/>
        </w:rPr>
        <w:t xml:space="preserve">(ED) </w:t>
      </w:r>
      <w:r w:rsidRPr="0032713F">
        <w:rPr>
          <w:sz w:val="32"/>
          <w:szCs w:val="32"/>
        </w:rPr>
        <w:t xml:space="preserve">interdisciplinary </w:t>
      </w:r>
      <w:r w:rsidR="0032713F" w:rsidRPr="0032713F">
        <w:rPr>
          <w:sz w:val="32"/>
          <w:szCs w:val="32"/>
        </w:rPr>
        <w:t xml:space="preserve">treatment </w:t>
      </w:r>
      <w:r w:rsidRPr="0032713F">
        <w:rPr>
          <w:sz w:val="32"/>
          <w:szCs w:val="32"/>
        </w:rPr>
        <w:t>teams</w:t>
      </w:r>
      <w:r w:rsidR="0032713F" w:rsidRPr="0032713F">
        <w:rPr>
          <w:sz w:val="32"/>
          <w:szCs w:val="32"/>
        </w:rPr>
        <w:t>.</w:t>
      </w:r>
      <w:r w:rsidR="00464D2B">
        <w:rPr>
          <w:sz w:val="32"/>
          <w:szCs w:val="32"/>
        </w:rPr>
        <w:t xml:space="preserve"> ED is a multidimensional disease and as the illness progresses, </w:t>
      </w:r>
      <w:r w:rsidR="00464D2B">
        <w:rPr>
          <w:rFonts w:ascii="Times" w:eastAsiaTheme="minorEastAsia" w:hAnsi="Times" w:cs="Times"/>
          <w:color w:val="000000"/>
          <w:sz w:val="32"/>
          <w:szCs w:val="32"/>
        </w:rPr>
        <w:t>e</w:t>
      </w:r>
      <w:r w:rsidR="00464D2B" w:rsidRPr="00464D2B">
        <w:rPr>
          <w:rFonts w:ascii="Times" w:eastAsiaTheme="minorEastAsia" w:hAnsi="Times" w:cs="Times"/>
          <w:color w:val="000000"/>
          <w:sz w:val="32"/>
          <w:szCs w:val="32"/>
        </w:rPr>
        <w:t xml:space="preserve">ngaging in disordered eating behaviors becomes what gives an individual meaning, </w:t>
      </w:r>
      <w:r w:rsidR="00464D2B">
        <w:rPr>
          <w:rFonts w:ascii="Times" w:eastAsiaTheme="minorEastAsia" w:hAnsi="Times" w:cs="Times"/>
          <w:color w:val="000000"/>
          <w:sz w:val="32"/>
          <w:szCs w:val="32"/>
        </w:rPr>
        <w:t xml:space="preserve">value, and purpose in life and </w:t>
      </w:r>
      <w:r w:rsidR="00464D2B" w:rsidRPr="00464D2B">
        <w:rPr>
          <w:rFonts w:ascii="Times" w:eastAsiaTheme="minorEastAsia" w:hAnsi="Times" w:cs="Times"/>
          <w:color w:val="000000"/>
          <w:sz w:val="32"/>
          <w:szCs w:val="32"/>
        </w:rPr>
        <w:t>pleasure</w:t>
      </w:r>
      <w:r w:rsidR="00464D2B">
        <w:rPr>
          <w:rFonts w:ascii="Times" w:eastAsiaTheme="minorEastAsia" w:hAnsi="Times" w:cs="Times"/>
          <w:color w:val="000000"/>
          <w:sz w:val="32"/>
          <w:szCs w:val="32"/>
        </w:rPr>
        <w:t xml:space="preserve">. </w:t>
      </w:r>
      <w:r w:rsidR="00464D2B" w:rsidRPr="00464D2B">
        <w:rPr>
          <w:rFonts w:eastAsiaTheme="minorEastAsia"/>
          <w:color w:val="000000"/>
          <w:sz w:val="32"/>
          <w:szCs w:val="32"/>
        </w:rPr>
        <w:t>Following the rules created by the disorder (i.e., calorie limitations, food restrictions, use of compensatory behaviors) provides the individual with a sense of control, structure, and routine</w:t>
      </w:r>
      <w:r w:rsidR="00464D2B">
        <w:rPr>
          <w:rFonts w:ascii="Times" w:eastAsiaTheme="minorEastAsia" w:hAnsi="Times" w:cs="Times"/>
          <w:color w:val="000000"/>
          <w:sz w:val="26"/>
          <w:szCs w:val="26"/>
        </w:rPr>
        <w:t xml:space="preserve">. </w:t>
      </w:r>
      <w:r w:rsidR="00464D2B" w:rsidRPr="00464D2B">
        <w:rPr>
          <w:rFonts w:eastAsiaTheme="minorEastAsia"/>
          <w:color w:val="000000"/>
          <w:sz w:val="32"/>
          <w:szCs w:val="32"/>
        </w:rPr>
        <w:t>Reaching disordered goals, like weight loss, gives the patient a sense of accomplishment and mastery.</w:t>
      </w:r>
      <w:r w:rsidR="00464D2B">
        <w:rPr>
          <w:rFonts w:eastAsiaTheme="minorEastAsia"/>
          <w:color w:val="000000"/>
          <w:sz w:val="32"/>
          <w:szCs w:val="32"/>
        </w:rPr>
        <w:t xml:space="preserve"> (Mack et al., p 5)</w:t>
      </w:r>
    </w:p>
    <w:p w14:paraId="23C54DD5" w14:textId="22B85B98" w:rsidR="00383B08" w:rsidRDefault="0032713F" w:rsidP="00464D2B">
      <w:pPr>
        <w:widowControl w:val="0"/>
        <w:autoSpaceDE w:val="0"/>
        <w:autoSpaceDN w:val="0"/>
        <w:adjustRightInd w:val="0"/>
        <w:spacing w:after="240" w:line="300" w:lineRule="atLeast"/>
        <w:rPr>
          <w:rFonts w:eastAsiaTheme="minorEastAsia"/>
          <w:color w:val="000000"/>
          <w:sz w:val="32"/>
          <w:szCs w:val="32"/>
        </w:rPr>
      </w:pPr>
      <w:r>
        <w:rPr>
          <w:sz w:val="32"/>
          <w:szCs w:val="32"/>
        </w:rPr>
        <w:t xml:space="preserve">Mack (2019) discussed the </w:t>
      </w:r>
      <w:r w:rsidR="00464D2B">
        <w:rPr>
          <w:sz w:val="32"/>
          <w:szCs w:val="32"/>
        </w:rPr>
        <w:t xml:space="preserve">OTP </w:t>
      </w:r>
      <w:r>
        <w:rPr>
          <w:sz w:val="32"/>
          <w:szCs w:val="32"/>
        </w:rPr>
        <w:t>role and noted that, based on the patient’s priori</w:t>
      </w:r>
      <w:r w:rsidR="00464D2B">
        <w:rPr>
          <w:sz w:val="32"/>
          <w:szCs w:val="32"/>
        </w:rPr>
        <w:t>ties, a therapist</w:t>
      </w:r>
      <w:r w:rsidR="00A21F87">
        <w:rPr>
          <w:sz w:val="32"/>
          <w:szCs w:val="32"/>
        </w:rPr>
        <w:t xml:space="preserve"> could address any of t</w:t>
      </w:r>
      <w:r>
        <w:rPr>
          <w:sz w:val="32"/>
          <w:szCs w:val="32"/>
        </w:rPr>
        <w:t>he following</w:t>
      </w:r>
      <w:r w:rsidR="00A21F87">
        <w:rPr>
          <w:sz w:val="32"/>
          <w:szCs w:val="32"/>
        </w:rPr>
        <w:t xml:space="preserve"> areas;</w:t>
      </w:r>
      <w:r>
        <w:rPr>
          <w:sz w:val="32"/>
          <w:szCs w:val="32"/>
        </w:rPr>
        <w:t xml:space="preserve"> </w:t>
      </w:r>
      <w:r w:rsidR="00A21F87" w:rsidRPr="00A21F87">
        <w:rPr>
          <w:rFonts w:ascii="Times" w:eastAsiaTheme="minorEastAsia" w:hAnsi="Times" w:cs="Times"/>
          <w:color w:val="262626"/>
          <w:sz w:val="32"/>
          <w:szCs w:val="32"/>
        </w:rPr>
        <w:t>a</w:t>
      </w:r>
      <w:r w:rsidRPr="00A21F87">
        <w:rPr>
          <w:rFonts w:ascii="Times" w:eastAsiaTheme="minorEastAsia" w:hAnsi="Times" w:cs="Times"/>
          <w:color w:val="262626"/>
          <w:sz w:val="32"/>
          <w:szCs w:val="32"/>
        </w:rPr>
        <w:t xml:space="preserve">ppropriate eating behaviors </w:t>
      </w:r>
      <w:r w:rsidRPr="00A21F87">
        <w:rPr>
          <w:rFonts w:ascii="Times" w:eastAsiaTheme="minorEastAsia" w:hAnsi="Times" w:cs="Times"/>
          <w:color w:val="4B1D49"/>
          <w:sz w:val="32"/>
          <w:szCs w:val="32"/>
        </w:rPr>
        <w:t> </w:t>
      </w:r>
      <w:r w:rsidR="00A21F87" w:rsidRPr="00A21F87">
        <w:rPr>
          <w:rFonts w:ascii="Times" w:eastAsiaTheme="minorEastAsia" w:hAnsi="Times" w:cs="Times"/>
          <w:color w:val="4B1D49"/>
          <w:sz w:val="32"/>
          <w:szCs w:val="32"/>
        </w:rPr>
        <w:t xml:space="preserve">, </w:t>
      </w:r>
      <w:r w:rsidR="00A21F87" w:rsidRPr="00A21F87">
        <w:rPr>
          <w:rFonts w:ascii="Times" w:eastAsiaTheme="minorEastAsia" w:hAnsi="Times" w:cs="Times"/>
          <w:color w:val="262626"/>
          <w:sz w:val="32"/>
          <w:szCs w:val="32"/>
        </w:rPr>
        <w:t>c</w:t>
      </w:r>
      <w:r w:rsidRPr="00A21F87">
        <w:rPr>
          <w:rFonts w:ascii="Times" w:eastAsiaTheme="minorEastAsia" w:hAnsi="Times" w:cs="Times"/>
          <w:color w:val="262626"/>
          <w:sz w:val="32"/>
          <w:szCs w:val="32"/>
        </w:rPr>
        <w:t xml:space="preserve">lient factors specifically related to triggers to engaging in ED behavior, warning signs of relapse, and positive </w:t>
      </w:r>
      <w:r w:rsidRPr="00A21F87">
        <w:rPr>
          <w:rFonts w:ascii="Times" w:eastAsiaTheme="minorEastAsia" w:hAnsi="Times" w:cs="Times"/>
          <w:color w:val="4B1D49"/>
          <w:sz w:val="32"/>
          <w:szCs w:val="32"/>
        </w:rPr>
        <w:t> </w:t>
      </w:r>
      <w:r w:rsidRPr="00A21F87">
        <w:rPr>
          <w:rFonts w:ascii="Times" w:eastAsiaTheme="minorEastAsia" w:hAnsi="Times" w:cs="Times"/>
          <w:color w:val="262626"/>
          <w:sz w:val="32"/>
          <w:szCs w:val="32"/>
        </w:rPr>
        <w:t>coping strategies</w:t>
      </w:r>
      <w:r w:rsidR="00A21F87" w:rsidRPr="00A21F87">
        <w:rPr>
          <w:rFonts w:ascii="Times" w:eastAsiaTheme="minorEastAsia" w:hAnsi="Times" w:cs="Times"/>
          <w:color w:val="4B1D49"/>
          <w:sz w:val="32"/>
          <w:szCs w:val="32"/>
        </w:rPr>
        <w:t xml:space="preserve">, </w:t>
      </w:r>
      <w:r w:rsidR="00A21F87" w:rsidRPr="00A21F87">
        <w:rPr>
          <w:rFonts w:ascii="Times" w:eastAsiaTheme="minorEastAsia" w:hAnsi="Times" w:cs="Times"/>
          <w:color w:val="262626"/>
          <w:sz w:val="32"/>
          <w:szCs w:val="32"/>
        </w:rPr>
        <w:t>b</w:t>
      </w:r>
      <w:r w:rsidRPr="00A21F87">
        <w:rPr>
          <w:rFonts w:ascii="Times" w:eastAsiaTheme="minorEastAsia" w:hAnsi="Times" w:cs="Times"/>
          <w:color w:val="262626"/>
          <w:sz w:val="32"/>
          <w:szCs w:val="32"/>
        </w:rPr>
        <w:t>alanced occupational engagement</w:t>
      </w:r>
      <w:r w:rsidR="00A21F87" w:rsidRPr="00A21F87">
        <w:rPr>
          <w:rFonts w:ascii="Times" w:eastAsiaTheme="minorEastAsia" w:hAnsi="Times" w:cs="Times"/>
          <w:color w:val="262626"/>
          <w:sz w:val="32"/>
          <w:szCs w:val="32"/>
        </w:rPr>
        <w:t>,</w:t>
      </w:r>
      <w:r w:rsidRPr="00A21F87">
        <w:rPr>
          <w:rFonts w:ascii="Times" w:eastAsiaTheme="minorEastAsia" w:hAnsi="Times" w:cs="Times"/>
          <w:color w:val="262626"/>
          <w:sz w:val="32"/>
          <w:szCs w:val="32"/>
        </w:rPr>
        <w:t xml:space="preserve"> </w:t>
      </w:r>
      <w:r w:rsidRPr="00A21F87">
        <w:rPr>
          <w:rFonts w:ascii="Times" w:eastAsiaTheme="minorEastAsia" w:hAnsi="Times" w:cs="Times"/>
          <w:color w:val="4B1D49"/>
          <w:sz w:val="32"/>
          <w:szCs w:val="32"/>
        </w:rPr>
        <w:t> </w:t>
      </w:r>
      <w:r w:rsidR="00A21F87" w:rsidRPr="00A21F87">
        <w:rPr>
          <w:rFonts w:ascii="Times" w:eastAsiaTheme="minorEastAsia" w:hAnsi="Times" w:cs="Times"/>
          <w:color w:val="262626"/>
          <w:sz w:val="32"/>
          <w:szCs w:val="32"/>
        </w:rPr>
        <w:t>d</w:t>
      </w:r>
      <w:r w:rsidRPr="00A21F87">
        <w:rPr>
          <w:rFonts w:ascii="Times" w:eastAsiaTheme="minorEastAsia" w:hAnsi="Times" w:cs="Times"/>
          <w:color w:val="262626"/>
          <w:sz w:val="32"/>
          <w:szCs w:val="32"/>
        </w:rPr>
        <w:t>esired role performance, in contrast to illness role performance</w:t>
      </w:r>
      <w:r w:rsidR="00A21F87" w:rsidRPr="00A21F87">
        <w:rPr>
          <w:rFonts w:ascii="Times" w:eastAsiaTheme="minorEastAsia" w:hAnsi="Times" w:cs="Times"/>
          <w:color w:val="262626"/>
          <w:sz w:val="32"/>
          <w:szCs w:val="32"/>
        </w:rPr>
        <w:t>,</w:t>
      </w:r>
      <w:r w:rsidRPr="00A21F87">
        <w:rPr>
          <w:rFonts w:ascii="Times" w:eastAsiaTheme="minorEastAsia" w:hAnsi="Times" w:cs="Times"/>
          <w:color w:val="262626"/>
          <w:sz w:val="32"/>
          <w:szCs w:val="32"/>
        </w:rPr>
        <w:t xml:space="preserve"> </w:t>
      </w:r>
      <w:r w:rsidRPr="00A21F87">
        <w:rPr>
          <w:rFonts w:ascii="Times" w:eastAsiaTheme="minorEastAsia" w:hAnsi="Times" w:cs="Times"/>
          <w:color w:val="4B1D49"/>
          <w:sz w:val="32"/>
          <w:szCs w:val="32"/>
        </w:rPr>
        <w:t> </w:t>
      </w:r>
      <w:r w:rsidR="00A21F87" w:rsidRPr="00A21F87">
        <w:rPr>
          <w:rFonts w:ascii="Times" w:eastAsiaTheme="minorEastAsia" w:hAnsi="Times" w:cs="Times"/>
          <w:color w:val="262626"/>
          <w:sz w:val="32"/>
          <w:szCs w:val="32"/>
        </w:rPr>
        <w:t>e</w:t>
      </w:r>
      <w:r w:rsidRPr="00A21F87">
        <w:rPr>
          <w:rFonts w:ascii="Times" w:eastAsiaTheme="minorEastAsia" w:hAnsi="Times" w:cs="Times"/>
          <w:color w:val="262626"/>
          <w:sz w:val="32"/>
          <w:szCs w:val="32"/>
        </w:rPr>
        <w:t xml:space="preserve">motional regulation </w:t>
      </w:r>
      <w:r w:rsidRPr="00A21F87">
        <w:rPr>
          <w:rFonts w:ascii="Times" w:eastAsiaTheme="minorEastAsia" w:hAnsi="Times" w:cs="Times"/>
          <w:color w:val="4B1D49"/>
          <w:sz w:val="32"/>
          <w:szCs w:val="32"/>
        </w:rPr>
        <w:t> </w:t>
      </w:r>
      <w:r w:rsidR="00464D2B">
        <w:rPr>
          <w:rFonts w:ascii="Times" w:eastAsiaTheme="minorEastAsia" w:hAnsi="Times" w:cs="Times"/>
          <w:color w:val="4B1D49"/>
          <w:sz w:val="32"/>
          <w:szCs w:val="32"/>
        </w:rPr>
        <w:t xml:space="preserve">, </w:t>
      </w:r>
      <w:r w:rsidR="00A21F87" w:rsidRPr="00A21F87">
        <w:rPr>
          <w:rFonts w:ascii="Times" w:eastAsiaTheme="minorEastAsia" w:hAnsi="Times" w:cs="Times"/>
          <w:color w:val="4B1D49"/>
          <w:sz w:val="32"/>
          <w:szCs w:val="32"/>
        </w:rPr>
        <w:t>s</w:t>
      </w:r>
      <w:r w:rsidR="00464D2B">
        <w:rPr>
          <w:rFonts w:ascii="Times" w:eastAsiaTheme="minorEastAsia" w:hAnsi="Times" w:cs="Times"/>
          <w:color w:val="262626"/>
          <w:sz w:val="32"/>
          <w:szCs w:val="32"/>
        </w:rPr>
        <w:t>elf -</w:t>
      </w:r>
      <w:r w:rsidRPr="00A21F87">
        <w:rPr>
          <w:rFonts w:ascii="Times" w:eastAsiaTheme="minorEastAsia" w:hAnsi="Times" w:cs="Times"/>
          <w:color w:val="262626"/>
          <w:sz w:val="32"/>
          <w:szCs w:val="32"/>
        </w:rPr>
        <w:t>esteem</w:t>
      </w:r>
      <w:r w:rsidR="00A21F87" w:rsidRPr="00A21F87">
        <w:rPr>
          <w:rFonts w:ascii="Times" w:eastAsiaTheme="minorEastAsia" w:hAnsi="Times" w:cs="Times"/>
          <w:color w:val="262626"/>
          <w:sz w:val="32"/>
          <w:szCs w:val="32"/>
        </w:rPr>
        <w:t xml:space="preserve">, </w:t>
      </w:r>
      <w:r w:rsidRPr="00A21F87">
        <w:rPr>
          <w:rFonts w:ascii="Times" w:eastAsiaTheme="minorEastAsia" w:hAnsi="Times" w:cs="Times"/>
          <w:color w:val="262626"/>
          <w:sz w:val="32"/>
          <w:szCs w:val="32"/>
        </w:rPr>
        <w:t xml:space="preserve"> </w:t>
      </w:r>
      <w:r w:rsidRPr="00A21F87">
        <w:rPr>
          <w:rFonts w:ascii="Times" w:eastAsiaTheme="minorEastAsia" w:hAnsi="Times" w:cs="Times"/>
          <w:color w:val="4B1D49"/>
          <w:sz w:val="32"/>
          <w:szCs w:val="32"/>
        </w:rPr>
        <w:t> </w:t>
      </w:r>
      <w:r w:rsidR="00A21F87" w:rsidRPr="00A21F87">
        <w:rPr>
          <w:rFonts w:ascii="Times" w:eastAsiaTheme="minorEastAsia" w:hAnsi="Times" w:cs="Times"/>
          <w:color w:val="262626"/>
          <w:sz w:val="32"/>
          <w:szCs w:val="32"/>
        </w:rPr>
        <w:t>e</w:t>
      </w:r>
      <w:r w:rsidRPr="00A21F87">
        <w:rPr>
          <w:rFonts w:ascii="Times" w:eastAsiaTheme="minorEastAsia" w:hAnsi="Times" w:cs="Times"/>
          <w:color w:val="262626"/>
          <w:sz w:val="32"/>
          <w:szCs w:val="32"/>
        </w:rPr>
        <w:t>nvironmental and contextual implications</w:t>
      </w:r>
      <w:r w:rsidR="00A21F87" w:rsidRPr="00A21F87">
        <w:rPr>
          <w:rFonts w:ascii="Times" w:eastAsiaTheme="minorEastAsia" w:hAnsi="Times" w:cs="Times"/>
          <w:color w:val="262626"/>
          <w:sz w:val="32"/>
          <w:szCs w:val="32"/>
        </w:rPr>
        <w:t>, impaired functional cognition related to malnutrition, performance patterns, interpersonal skills, and overall health management.</w:t>
      </w:r>
      <w:r w:rsidRPr="00A21F87">
        <w:rPr>
          <w:rFonts w:ascii="Times" w:eastAsiaTheme="minorEastAsia" w:hAnsi="Times" w:cs="Times"/>
          <w:color w:val="4B1D49"/>
          <w:sz w:val="32"/>
          <w:szCs w:val="32"/>
        </w:rPr>
        <w:t> </w:t>
      </w:r>
      <w:r w:rsidR="00A21F87">
        <w:rPr>
          <w:rFonts w:ascii="Times" w:eastAsiaTheme="minorEastAsia" w:hAnsi="Times" w:cs="Times"/>
          <w:color w:val="4B1D49"/>
          <w:sz w:val="32"/>
          <w:szCs w:val="32"/>
        </w:rPr>
        <w:t xml:space="preserve"> </w:t>
      </w:r>
      <w:r w:rsidR="00DB4736">
        <w:rPr>
          <w:rFonts w:ascii="Times" w:eastAsiaTheme="minorEastAsia" w:hAnsi="Times" w:cs="Times"/>
          <w:color w:val="4B1D49"/>
          <w:sz w:val="32"/>
          <w:szCs w:val="32"/>
        </w:rPr>
        <w:t xml:space="preserve">Planning treatment depends on environment as patients transition from acute, to partial hospitalization programs and </w:t>
      </w:r>
      <w:r w:rsidR="00F266AA">
        <w:rPr>
          <w:rFonts w:ascii="Times" w:eastAsiaTheme="minorEastAsia" w:hAnsi="Times" w:cs="Times"/>
          <w:color w:val="4B1D49"/>
          <w:sz w:val="32"/>
          <w:szCs w:val="32"/>
        </w:rPr>
        <w:t>ultimately discharge, with prevention of relapse.</w:t>
      </w:r>
      <w:r w:rsidR="00DB4736">
        <w:rPr>
          <w:rFonts w:ascii="Times" w:eastAsiaTheme="minorEastAsia" w:hAnsi="Times" w:cs="Times"/>
          <w:color w:val="4B1D49"/>
          <w:sz w:val="32"/>
          <w:szCs w:val="32"/>
        </w:rPr>
        <w:t xml:space="preserve"> There are rich opp</w:t>
      </w:r>
      <w:r w:rsidR="00F266AA">
        <w:rPr>
          <w:rFonts w:ascii="Times" w:eastAsiaTheme="minorEastAsia" w:hAnsi="Times" w:cs="Times"/>
          <w:color w:val="4B1D49"/>
          <w:sz w:val="32"/>
          <w:szCs w:val="32"/>
        </w:rPr>
        <w:t>ortunities to create occupation-</w:t>
      </w:r>
      <w:r w:rsidR="00DB4736">
        <w:rPr>
          <w:rFonts w:ascii="Times" w:eastAsiaTheme="minorEastAsia" w:hAnsi="Times" w:cs="Times"/>
          <w:color w:val="4B1D49"/>
          <w:sz w:val="32"/>
          <w:szCs w:val="32"/>
        </w:rPr>
        <w:t xml:space="preserve">based interventions around shopping for food or clothing, meal planning, preparation and clean up, and dining out in restaurants. </w:t>
      </w:r>
      <w:r w:rsidR="00167F9C">
        <w:rPr>
          <w:rFonts w:ascii="Times" w:eastAsiaTheme="minorEastAsia" w:hAnsi="Times" w:cs="Times"/>
          <w:color w:val="4B1D49"/>
          <w:sz w:val="32"/>
          <w:szCs w:val="32"/>
        </w:rPr>
        <w:t>Mack et. al reviewed lived experience narrative of an ED patient</w:t>
      </w:r>
      <w:r w:rsidR="00A20E13">
        <w:rPr>
          <w:rFonts w:ascii="Times" w:eastAsiaTheme="minorEastAsia" w:hAnsi="Times" w:cs="Times"/>
          <w:color w:val="4B1D49"/>
          <w:sz w:val="32"/>
          <w:szCs w:val="32"/>
        </w:rPr>
        <w:t>,</w:t>
      </w:r>
      <w:r w:rsidR="00167F9C">
        <w:rPr>
          <w:rFonts w:ascii="Times" w:eastAsiaTheme="minorEastAsia" w:hAnsi="Times" w:cs="Times"/>
          <w:color w:val="4B1D49"/>
          <w:sz w:val="32"/>
          <w:szCs w:val="32"/>
        </w:rPr>
        <w:t xml:space="preserve"> which </w:t>
      </w:r>
      <w:r w:rsidR="00522ACC">
        <w:rPr>
          <w:rFonts w:ascii="Times" w:eastAsiaTheme="minorEastAsia" w:hAnsi="Times" w:cs="Times"/>
          <w:color w:val="4B1D49"/>
          <w:sz w:val="32"/>
          <w:szCs w:val="32"/>
        </w:rPr>
        <w:t xml:space="preserve">verified that occupational therapy treatments aligned with and met the needs of those coping with eating disorders. </w:t>
      </w:r>
      <w:r w:rsidR="00383B08">
        <w:rPr>
          <w:rFonts w:ascii="Times" w:eastAsiaTheme="minorEastAsia" w:hAnsi="Times" w:cs="Times"/>
          <w:color w:val="4B1D49"/>
          <w:sz w:val="32"/>
          <w:szCs w:val="32"/>
        </w:rPr>
        <w:t xml:space="preserve">The patient is quoted as saying that occupational therapy was the favorite part of her day. </w:t>
      </w:r>
      <w:r w:rsidR="00383B08" w:rsidRPr="00383B08">
        <w:rPr>
          <w:rFonts w:ascii="Times" w:eastAsiaTheme="minorEastAsia" w:hAnsi="Times" w:cs="Times"/>
          <w:i/>
          <w:color w:val="4B1D49"/>
          <w:sz w:val="32"/>
          <w:szCs w:val="32"/>
        </w:rPr>
        <w:t>“</w:t>
      </w:r>
      <w:r w:rsidR="00383B08" w:rsidRPr="00383B08">
        <w:rPr>
          <w:rFonts w:ascii="Times" w:eastAsiaTheme="minorEastAsia" w:hAnsi="Times" w:cs="Times"/>
          <w:i/>
          <w:color w:val="000000"/>
          <w:sz w:val="32"/>
          <w:szCs w:val="32"/>
        </w:rPr>
        <w:t>I’d have to relearn aspects of</w:t>
      </w:r>
      <w:r w:rsidR="00383B08">
        <w:rPr>
          <w:rFonts w:ascii="Times" w:eastAsiaTheme="minorEastAsia" w:hAnsi="Times" w:cs="Times"/>
          <w:i/>
          <w:color w:val="000000"/>
          <w:sz w:val="32"/>
          <w:szCs w:val="32"/>
        </w:rPr>
        <w:t xml:space="preserve"> everyday life. Instead of walk</w:t>
      </w:r>
      <w:r w:rsidR="00383B08" w:rsidRPr="00383B08">
        <w:rPr>
          <w:rFonts w:ascii="Times" w:eastAsiaTheme="minorEastAsia" w:hAnsi="Times" w:cs="Times"/>
          <w:i/>
          <w:color w:val="000000"/>
          <w:sz w:val="32"/>
          <w:szCs w:val="32"/>
        </w:rPr>
        <w:t xml:space="preserve">ing or speaking, it was grocery shopping, meal prepping and cooking, and the actual act of eating food. I needed to learn coping skills to eat alone or in social situations. </w:t>
      </w:r>
      <w:r w:rsidR="00383B08">
        <w:rPr>
          <w:rFonts w:ascii="Times" w:eastAsiaTheme="minorEastAsia" w:hAnsi="Times" w:cs="Times"/>
          <w:i/>
          <w:color w:val="000000"/>
          <w:sz w:val="32"/>
          <w:szCs w:val="32"/>
        </w:rPr>
        <w:t>Th</w:t>
      </w:r>
      <w:r w:rsidR="00383B08" w:rsidRPr="00383B08">
        <w:rPr>
          <w:rFonts w:ascii="Times" w:eastAsiaTheme="minorEastAsia" w:hAnsi="Times" w:cs="Times"/>
          <w:i/>
          <w:color w:val="000000"/>
          <w:sz w:val="32"/>
          <w:szCs w:val="32"/>
        </w:rPr>
        <w:t xml:space="preserve">ese were just some of the abilities of daily </w:t>
      </w:r>
      <w:r w:rsidR="00383B08">
        <w:rPr>
          <w:rFonts w:ascii="Times" w:eastAsiaTheme="minorEastAsia" w:hAnsi="Times" w:cs="Times"/>
          <w:i/>
          <w:color w:val="000000"/>
          <w:sz w:val="32"/>
          <w:szCs w:val="32"/>
        </w:rPr>
        <w:t xml:space="preserve">tasks that I lost during my ED.” </w:t>
      </w:r>
      <w:r w:rsidR="00383B08" w:rsidRPr="00902C92">
        <w:rPr>
          <w:rFonts w:eastAsiaTheme="minorEastAsia"/>
          <w:i/>
          <w:color w:val="000000"/>
          <w:sz w:val="32"/>
          <w:szCs w:val="32"/>
        </w:rPr>
        <w:t xml:space="preserve">(Mack et al, </w:t>
      </w:r>
      <w:r w:rsidR="007D2B98" w:rsidRPr="00902C92">
        <w:rPr>
          <w:rFonts w:eastAsiaTheme="minorEastAsia"/>
          <w:i/>
          <w:color w:val="000000"/>
          <w:sz w:val="32"/>
          <w:szCs w:val="32"/>
        </w:rPr>
        <w:t>p3</w:t>
      </w:r>
      <w:r w:rsidR="007D2B98" w:rsidRPr="00902C92">
        <w:rPr>
          <w:rFonts w:eastAsiaTheme="minorEastAsia"/>
          <w:color w:val="000000"/>
          <w:sz w:val="32"/>
          <w:szCs w:val="32"/>
        </w:rPr>
        <w:t>)</w:t>
      </w:r>
    </w:p>
    <w:p w14:paraId="098CCAB5" w14:textId="77777777" w:rsidR="00902C92" w:rsidRDefault="00902C92" w:rsidP="00464D2B">
      <w:pPr>
        <w:widowControl w:val="0"/>
        <w:autoSpaceDE w:val="0"/>
        <w:autoSpaceDN w:val="0"/>
        <w:adjustRightInd w:val="0"/>
        <w:spacing w:after="240" w:line="300" w:lineRule="atLeast"/>
        <w:rPr>
          <w:rFonts w:ascii="Times" w:eastAsiaTheme="minorEastAsia" w:hAnsi="Times" w:cs="Times"/>
          <w:color w:val="000000"/>
          <w:sz w:val="26"/>
          <w:szCs w:val="26"/>
        </w:rPr>
      </w:pPr>
    </w:p>
    <w:p w14:paraId="30CF790E" w14:textId="2701C26E" w:rsidR="00902C92" w:rsidRPr="00E03B35" w:rsidRDefault="00902C92" w:rsidP="00902C92">
      <w:pPr>
        <w:widowControl w:val="0"/>
        <w:autoSpaceDE w:val="0"/>
        <w:autoSpaceDN w:val="0"/>
        <w:adjustRightInd w:val="0"/>
        <w:spacing w:after="240" w:line="260" w:lineRule="atLeast"/>
        <w:rPr>
          <w:rFonts w:eastAsiaTheme="minorEastAsia"/>
          <w:color w:val="000000"/>
          <w:sz w:val="32"/>
          <w:szCs w:val="32"/>
        </w:rPr>
      </w:pPr>
      <w:r>
        <w:rPr>
          <w:rFonts w:eastAsiaTheme="minorEastAsia"/>
          <w:color w:val="000000"/>
          <w:sz w:val="32"/>
          <w:szCs w:val="32"/>
        </w:rPr>
        <w:t xml:space="preserve">Burakat et al (2023) Risk factors for eating disorders: findings from a rapid review, </w:t>
      </w:r>
      <w:r w:rsidRPr="00902C92">
        <w:rPr>
          <w:rFonts w:eastAsiaTheme="minorEastAsia"/>
          <w:i/>
          <w:color w:val="000000"/>
          <w:sz w:val="32"/>
          <w:szCs w:val="32"/>
        </w:rPr>
        <w:t>Journal of Eating Disorders</w:t>
      </w:r>
      <w:r>
        <w:rPr>
          <w:rFonts w:eastAsiaTheme="minorEastAsia"/>
          <w:color w:val="000000"/>
          <w:sz w:val="32"/>
          <w:szCs w:val="32"/>
        </w:rPr>
        <w:t xml:space="preserve">, 11:8, </w:t>
      </w:r>
      <w:r w:rsidRPr="00902C92">
        <w:rPr>
          <w:rFonts w:eastAsiaTheme="minorEastAsia"/>
          <w:color w:val="000000"/>
          <w:sz w:val="32"/>
          <w:szCs w:val="32"/>
        </w:rPr>
        <w:t>https://doi</w:t>
      </w:r>
      <w:r>
        <w:rPr>
          <w:rFonts w:eastAsiaTheme="minorEastAsia"/>
          <w:color w:val="000000"/>
          <w:sz w:val="32"/>
          <w:szCs w:val="32"/>
        </w:rPr>
        <w:t>.org/10.1186/s40337-022-00717-4.</w:t>
      </w:r>
    </w:p>
    <w:p w14:paraId="0B0D707C" w14:textId="619B89C9" w:rsidR="00E03B35" w:rsidRDefault="00E03B35" w:rsidP="00E03B35">
      <w:pPr>
        <w:widowControl w:val="0"/>
        <w:autoSpaceDE w:val="0"/>
        <w:autoSpaceDN w:val="0"/>
        <w:adjustRightInd w:val="0"/>
        <w:rPr>
          <w:rFonts w:ascii="Times" w:eastAsiaTheme="minorEastAsia" w:hAnsi="Times" w:cs="Times"/>
          <w:color w:val="000000"/>
          <w:sz w:val="32"/>
          <w:szCs w:val="32"/>
        </w:rPr>
      </w:pPr>
      <w:r>
        <w:rPr>
          <w:rFonts w:eastAsiaTheme="minorEastAsia"/>
          <w:color w:val="000000"/>
          <w:sz w:val="32"/>
          <w:szCs w:val="32"/>
        </w:rPr>
        <w:t xml:space="preserve">Chilman, et al (2023), </w:t>
      </w:r>
      <w:r w:rsidRPr="00C86267">
        <w:rPr>
          <w:rFonts w:ascii="Times" w:eastAsiaTheme="minorEastAsia" w:hAnsi="Times" w:cs="Times"/>
          <w:color w:val="000000"/>
          <w:sz w:val="32"/>
          <w:szCs w:val="32"/>
        </w:rPr>
        <w:t xml:space="preserve">Picky eating in children: Current clinical trends, practices, and observations within the Australian health-care </w:t>
      </w:r>
      <w:r w:rsidR="00902C92" w:rsidRPr="00C86267">
        <w:rPr>
          <w:rFonts w:ascii="Times" w:eastAsiaTheme="minorEastAsia" w:hAnsi="Times" w:cs="Times"/>
          <w:color w:val="000000"/>
          <w:sz w:val="32"/>
          <w:szCs w:val="32"/>
        </w:rPr>
        <w:t>context,</w:t>
      </w:r>
      <w:r w:rsidRPr="005C7660">
        <w:rPr>
          <w:rFonts w:eastAsiaTheme="minorEastAsia"/>
          <w:color w:val="000000"/>
          <w:sz w:val="32"/>
          <w:szCs w:val="32"/>
        </w:rPr>
        <w:t xml:space="preserve"> </w:t>
      </w:r>
      <w:r w:rsidR="00902C92" w:rsidRPr="005C7660">
        <w:rPr>
          <w:rFonts w:eastAsiaTheme="minorEastAsia"/>
          <w:i/>
          <w:color w:val="000000"/>
          <w:sz w:val="32"/>
          <w:szCs w:val="32"/>
        </w:rPr>
        <w:t>Australian</w:t>
      </w:r>
      <w:r w:rsidRPr="005C7660">
        <w:rPr>
          <w:rFonts w:eastAsiaTheme="minorEastAsia"/>
          <w:i/>
          <w:color w:val="000000"/>
          <w:sz w:val="32"/>
          <w:szCs w:val="32"/>
        </w:rPr>
        <w:t xml:space="preserve"> Occupational Therapy Journal</w:t>
      </w:r>
      <w:r>
        <w:rPr>
          <w:rFonts w:eastAsiaTheme="minorEastAsia"/>
          <w:color w:val="000000"/>
          <w:sz w:val="32"/>
          <w:szCs w:val="32"/>
        </w:rPr>
        <w:t xml:space="preserve">, </w:t>
      </w:r>
      <w:r w:rsidRPr="00C86267">
        <w:rPr>
          <w:rFonts w:eastAsiaTheme="minorEastAsia"/>
          <w:color w:val="000000"/>
          <w:sz w:val="32"/>
          <w:szCs w:val="32"/>
        </w:rPr>
        <w:t>DOI: 10.1111/1440-1630.12869</w:t>
      </w:r>
      <w:r>
        <w:rPr>
          <w:rFonts w:eastAsiaTheme="minorEastAsia"/>
          <w:color w:val="000000"/>
          <w:sz w:val="32"/>
          <w:szCs w:val="32"/>
        </w:rPr>
        <w:t>.</w:t>
      </w:r>
    </w:p>
    <w:p w14:paraId="5DE0001D" w14:textId="77777777" w:rsidR="00E03B35" w:rsidRPr="00E03B35" w:rsidRDefault="00E03B35" w:rsidP="00E03B35">
      <w:pPr>
        <w:widowControl w:val="0"/>
        <w:autoSpaceDE w:val="0"/>
        <w:autoSpaceDN w:val="0"/>
        <w:adjustRightInd w:val="0"/>
        <w:rPr>
          <w:rFonts w:ascii="Times" w:eastAsiaTheme="minorEastAsia" w:hAnsi="Times" w:cs="Times"/>
          <w:color w:val="000000"/>
          <w:sz w:val="32"/>
          <w:szCs w:val="32"/>
        </w:rPr>
      </w:pPr>
    </w:p>
    <w:p w14:paraId="54A65F4A" w14:textId="102956EA" w:rsidR="0020220A" w:rsidRDefault="007D2B98" w:rsidP="005C7660">
      <w:pPr>
        <w:widowControl w:val="0"/>
        <w:autoSpaceDE w:val="0"/>
        <w:autoSpaceDN w:val="0"/>
        <w:adjustRightInd w:val="0"/>
        <w:spacing w:after="240"/>
        <w:rPr>
          <w:rFonts w:eastAsiaTheme="minorEastAsia"/>
          <w:color w:val="000000"/>
          <w:sz w:val="32"/>
          <w:szCs w:val="32"/>
        </w:rPr>
      </w:pPr>
      <w:r w:rsidRPr="00E03B35">
        <w:rPr>
          <w:rFonts w:eastAsiaTheme="minorEastAsia"/>
          <w:color w:val="000000"/>
          <w:sz w:val="32"/>
          <w:szCs w:val="32"/>
        </w:rPr>
        <w:t xml:space="preserve">Mack </w:t>
      </w:r>
      <w:r w:rsidRPr="00E03B35">
        <w:rPr>
          <w:rFonts w:eastAsiaTheme="minorEastAsia"/>
          <w:iCs/>
          <w:color w:val="000000"/>
          <w:sz w:val="32"/>
          <w:szCs w:val="32"/>
        </w:rPr>
        <w:t>et al.</w:t>
      </w:r>
      <w:r w:rsidR="00E03B35" w:rsidRPr="00E03B35">
        <w:rPr>
          <w:rFonts w:eastAsiaTheme="minorEastAsia"/>
          <w:iCs/>
          <w:color w:val="000000"/>
          <w:sz w:val="32"/>
          <w:szCs w:val="32"/>
        </w:rPr>
        <w:t xml:space="preserve"> (2023)</w:t>
      </w:r>
      <w:r w:rsidR="00E03B35" w:rsidRPr="00E03B35">
        <w:rPr>
          <w:rFonts w:ascii="Times" w:eastAsiaTheme="minorEastAsia" w:hAnsi="Times" w:cs="Times"/>
          <w:color w:val="000000"/>
          <w:sz w:val="64"/>
          <w:szCs w:val="64"/>
        </w:rPr>
        <w:t xml:space="preserve"> </w:t>
      </w:r>
      <w:r w:rsidR="00E03B35" w:rsidRPr="00E03B35">
        <w:rPr>
          <w:rFonts w:eastAsiaTheme="minorEastAsia"/>
          <w:color w:val="000000"/>
          <w:sz w:val="32"/>
          <w:szCs w:val="32"/>
        </w:rPr>
        <w:t>The importance of including occupational therapists as part of the multidisciplinary team in the management of eating disorders: a narrative review</w:t>
      </w:r>
      <w:r w:rsidR="002D249F">
        <w:rPr>
          <w:rFonts w:eastAsiaTheme="minorEastAsia"/>
          <w:color w:val="000000"/>
          <w:sz w:val="32"/>
          <w:szCs w:val="32"/>
        </w:rPr>
        <w:t xml:space="preserve"> incorporating lived experience</w:t>
      </w:r>
      <w:r w:rsidR="00E03B35">
        <w:rPr>
          <w:rFonts w:eastAsiaTheme="minorEastAsia"/>
          <w:color w:val="000000"/>
          <w:sz w:val="32"/>
          <w:szCs w:val="32"/>
        </w:rPr>
        <w:t xml:space="preserve">. </w:t>
      </w:r>
      <w:r w:rsidRPr="00C86267">
        <w:rPr>
          <w:rFonts w:eastAsiaTheme="minorEastAsia"/>
          <w:i/>
          <w:iCs/>
          <w:color w:val="000000"/>
          <w:sz w:val="32"/>
          <w:szCs w:val="32"/>
        </w:rPr>
        <w:t xml:space="preserve">Journal of Eating Disorders </w:t>
      </w:r>
      <w:r w:rsidR="00E03B35">
        <w:rPr>
          <w:rFonts w:eastAsiaTheme="minorEastAsia"/>
          <w:i/>
          <w:iCs/>
          <w:color w:val="000000"/>
          <w:sz w:val="32"/>
          <w:szCs w:val="32"/>
        </w:rPr>
        <w:t>,</w:t>
      </w:r>
      <w:r w:rsidRPr="00C86267">
        <w:rPr>
          <w:rFonts w:eastAsiaTheme="minorEastAsia"/>
          <w:i/>
          <w:iCs/>
          <w:color w:val="000000"/>
          <w:sz w:val="32"/>
          <w:szCs w:val="32"/>
        </w:rPr>
        <w:t>11:37</w:t>
      </w:r>
      <w:r w:rsidR="00E03B35">
        <w:rPr>
          <w:rFonts w:eastAsiaTheme="minorEastAsia"/>
          <w:i/>
          <w:iCs/>
          <w:color w:val="000000"/>
          <w:sz w:val="32"/>
          <w:szCs w:val="32"/>
        </w:rPr>
        <w:t>,</w:t>
      </w:r>
      <w:r w:rsidRPr="00C86267">
        <w:rPr>
          <w:rFonts w:eastAsiaTheme="minorEastAsia"/>
          <w:i/>
          <w:iCs/>
          <w:color w:val="000000"/>
          <w:sz w:val="32"/>
          <w:szCs w:val="32"/>
        </w:rPr>
        <w:t xml:space="preserve"> </w:t>
      </w:r>
      <w:r w:rsidRPr="00C86267">
        <w:rPr>
          <w:rFonts w:eastAsiaTheme="minorEastAsia"/>
          <w:color w:val="000000"/>
          <w:sz w:val="32"/>
          <w:szCs w:val="32"/>
        </w:rPr>
        <w:t>https://doi.org/10.1186/s40337-023-00763-6</w:t>
      </w:r>
      <w:r w:rsidR="00E03B35">
        <w:rPr>
          <w:rFonts w:eastAsiaTheme="minorEastAsia"/>
          <w:color w:val="000000"/>
          <w:sz w:val="32"/>
          <w:szCs w:val="32"/>
        </w:rPr>
        <w:t>.</w:t>
      </w:r>
      <w:r w:rsidRPr="00C86267">
        <w:rPr>
          <w:rFonts w:eastAsiaTheme="minorEastAsia"/>
          <w:color w:val="000000"/>
          <w:sz w:val="32"/>
          <w:szCs w:val="32"/>
        </w:rPr>
        <w:t xml:space="preserve"> </w:t>
      </w:r>
    </w:p>
    <w:p w14:paraId="2F466EF6" w14:textId="1EEA58A7" w:rsidR="0020220A" w:rsidRDefault="00DA2EBC" w:rsidP="00902C92">
      <w:pPr>
        <w:widowControl w:val="0"/>
        <w:autoSpaceDE w:val="0"/>
        <w:autoSpaceDN w:val="0"/>
        <w:adjustRightInd w:val="0"/>
        <w:rPr>
          <w:rFonts w:ascii="Times" w:eastAsiaTheme="minorEastAsia" w:hAnsi="Times" w:cs="Times"/>
          <w:color w:val="000000"/>
          <w:sz w:val="24"/>
          <w:szCs w:val="24"/>
        </w:rPr>
      </w:pPr>
      <w:r>
        <w:rPr>
          <w:rFonts w:eastAsiaTheme="minorEastAsia"/>
          <w:color w:val="000000"/>
          <w:sz w:val="32"/>
          <w:szCs w:val="32"/>
        </w:rPr>
        <w:t xml:space="preserve">Mack, R. ( April 26, </w:t>
      </w:r>
      <w:r w:rsidR="0020220A">
        <w:rPr>
          <w:rFonts w:eastAsiaTheme="minorEastAsia"/>
          <w:color w:val="000000"/>
          <w:sz w:val="32"/>
          <w:szCs w:val="32"/>
        </w:rPr>
        <w:t>2019)</w:t>
      </w:r>
      <w:r w:rsidR="001C7DA1">
        <w:rPr>
          <w:rFonts w:eastAsiaTheme="minorEastAsia"/>
          <w:color w:val="000000"/>
          <w:sz w:val="32"/>
          <w:szCs w:val="32"/>
        </w:rPr>
        <w:t xml:space="preserve"> Treating eating disorders: an inside look at occupation based interventions, </w:t>
      </w:r>
      <w:hyperlink r:id="rId8" w:history="1">
        <w:r w:rsidR="00902C92" w:rsidRPr="008D210E">
          <w:rPr>
            <w:rStyle w:val="Hyperlink"/>
            <w:rFonts w:eastAsiaTheme="minorEastAsia"/>
            <w:sz w:val="32"/>
            <w:szCs w:val="32"/>
          </w:rPr>
          <w:t>https://www.aota.org/publications/ot-practice/ot-practice-issues/2019/eating-disorders</w:t>
        </w:r>
      </w:hyperlink>
      <w:r w:rsidR="001625FA">
        <w:rPr>
          <w:rFonts w:eastAsiaTheme="minorEastAsia"/>
          <w:color w:val="000000"/>
          <w:sz w:val="32"/>
          <w:szCs w:val="32"/>
        </w:rPr>
        <w:t>.</w:t>
      </w:r>
    </w:p>
    <w:p w14:paraId="1CB94FE3" w14:textId="77777777" w:rsidR="00902C92" w:rsidRPr="00902C92" w:rsidRDefault="00902C92" w:rsidP="00902C92">
      <w:pPr>
        <w:widowControl w:val="0"/>
        <w:autoSpaceDE w:val="0"/>
        <w:autoSpaceDN w:val="0"/>
        <w:adjustRightInd w:val="0"/>
        <w:rPr>
          <w:rFonts w:ascii="Times" w:eastAsiaTheme="minorEastAsia" w:hAnsi="Times" w:cs="Times"/>
          <w:color w:val="000000"/>
          <w:sz w:val="24"/>
          <w:szCs w:val="24"/>
        </w:rPr>
      </w:pPr>
    </w:p>
    <w:p w14:paraId="5D1EB360" w14:textId="020F4A7B" w:rsidR="00383B08" w:rsidRPr="00383B08" w:rsidRDefault="00902C92" w:rsidP="00383B08">
      <w:pPr>
        <w:widowControl w:val="0"/>
        <w:autoSpaceDE w:val="0"/>
        <w:autoSpaceDN w:val="0"/>
        <w:adjustRightInd w:val="0"/>
        <w:spacing w:after="240" w:line="300" w:lineRule="atLeast"/>
        <w:rPr>
          <w:rFonts w:ascii="Times" w:eastAsiaTheme="minorEastAsia" w:hAnsi="Times" w:cs="Times"/>
          <w:i/>
          <w:color w:val="000000"/>
          <w:sz w:val="32"/>
          <w:szCs w:val="32"/>
        </w:rPr>
      </w:pPr>
      <w:r w:rsidRPr="00902C92">
        <w:rPr>
          <w:rFonts w:ascii="Times" w:eastAsiaTheme="minorEastAsia" w:hAnsi="Times" w:cs="Times"/>
          <w:color w:val="000000"/>
          <w:sz w:val="32"/>
          <w:szCs w:val="32"/>
        </w:rPr>
        <w:t>Gettier,</w:t>
      </w:r>
      <w:r>
        <w:rPr>
          <w:rFonts w:ascii="Times" w:eastAsiaTheme="minorEastAsia" w:hAnsi="Times" w:cs="Times"/>
          <w:color w:val="000000"/>
          <w:sz w:val="32"/>
          <w:szCs w:val="32"/>
        </w:rPr>
        <w:t xml:space="preserve"> </w:t>
      </w:r>
      <w:r w:rsidRPr="00902C92">
        <w:rPr>
          <w:rFonts w:ascii="Times" w:eastAsiaTheme="minorEastAsia" w:hAnsi="Times" w:cs="Times"/>
          <w:color w:val="000000"/>
          <w:sz w:val="32"/>
          <w:szCs w:val="32"/>
        </w:rPr>
        <w:t>M. (2022, June 1)</w:t>
      </w:r>
      <w:r>
        <w:rPr>
          <w:rFonts w:ascii="Times" w:eastAsiaTheme="minorEastAsia" w:hAnsi="Times" w:cs="Times"/>
          <w:color w:val="000000"/>
          <w:sz w:val="32"/>
          <w:szCs w:val="32"/>
        </w:rPr>
        <w:t xml:space="preserve"> </w:t>
      </w:r>
      <w:r w:rsidRPr="00902C92">
        <w:rPr>
          <w:rFonts w:ascii="Times" w:eastAsiaTheme="minorEastAsia" w:hAnsi="Times" w:cs="Times"/>
          <w:color w:val="000000"/>
          <w:sz w:val="32"/>
          <w:szCs w:val="32"/>
        </w:rPr>
        <w:t>Children with problematic feeding, selective restrictive eating: a pilot study</w:t>
      </w:r>
      <w:r>
        <w:rPr>
          <w:rFonts w:ascii="Times" w:eastAsiaTheme="minorEastAsia" w:hAnsi="Times" w:cs="Times"/>
          <w:i/>
          <w:color w:val="000000"/>
          <w:sz w:val="32"/>
          <w:szCs w:val="32"/>
        </w:rPr>
        <w:t>.</w:t>
      </w:r>
      <w:r w:rsidRPr="00902C92">
        <w:t xml:space="preserve"> </w:t>
      </w:r>
      <w:r w:rsidRPr="00902C92">
        <w:rPr>
          <w:rFonts w:ascii="Times" w:eastAsiaTheme="minorEastAsia" w:hAnsi="Times" w:cs="Times"/>
          <w:i/>
          <w:color w:val="000000"/>
          <w:sz w:val="32"/>
          <w:szCs w:val="32"/>
        </w:rPr>
        <w:t>https://www.aota.org/publications/ot-practice/ot-practice-issues/2022/problematic-feeding-selective-restrictive-eating</w:t>
      </w:r>
    </w:p>
    <w:p w14:paraId="2C308442" w14:textId="38DEA849" w:rsidR="00413F30" w:rsidRPr="00A21F87" w:rsidRDefault="00413F30" w:rsidP="00A21F87">
      <w:pPr>
        <w:widowControl w:val="0"/>
        <w:tabs>
          <w:tab w:val="left" w:pos="220"/>
          <w:tab w:val="left" w:pos="720"/>
        </w:tabs>
        <w:autoSpaceDE w:val="0"/>
        <w:autoSpaceDN w:val="0"/>
        <w:adjustRightInd w:val="0"/>
        <w:spacing w:after="346" w:line="300" w:lineRule="atLeast"/>
        <w:rPr>
          <w:rFonts w:ascii="Times" w:eastAsiaTheme="minorEastAsia" w:hAnsi="Times" w:cs="Times"/>
          <w:color w:val="4B1D49"/>
          <w:sz w:val="32"/>
          <w:szCs w:val="32"/>
        </w:rPr>
      </w:pPr>
    </w:p>
    <w:sectPr w:rsidR="00413F30" w:rsidRPr="00A21F87" w:rsidSect="00DF131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1F"/>
    <w:rsid w:val="000A49AC"/>
    <w:rsid w:val="00153429"/>
    <w:rsid w:val="001625FA"/>
    <w:rsid w:val="00167F9C"/>
    <w:rsid w:val="001C7DA1"/>
    <w:rsid w:val="0020220A"/>
    <w:rsid w:val="002D249F"/>
    <w:rsid w:val="0032713F"/>
    <w:rsid w:val="00383B08"/>
    <w:rsid w:val="00413F30"/>
    <w:rsid w:val="0041435B"/>
    <w:rsid w:val="00464D2B"/>
    <w:rsid w:val="00522ACC"/>
    <w:rsid w:val="005A788A"/>
    <w:rsid w:val="005C7660"/>
    <w:rsid w:val="0075222E"/>
    <w:rsid w:val="007C4E8D"/>
    <w:rsid w:val="007D2B98"/>
    <w:rsid w:val="00883648"/>
    <w:rsid w:val="00902C92"/>
    <w:rsid w:val="00A20E13"/>
    <w:rsid w:val="00A21F87"/>
    <w:rsid w:val="00AE5F6D"/>
    <w:rsid w:val="00B661B5"/>
    <w:rsid w:val="00BF3DC3"/>
    <w:rsid w:val="00C7345E"/>
    <w:rsid w:val="00C86267"/>
    <w:rsid w:val="00D6096D"/>
    <w:rsid w:val="00D70EF0"/>
    <w:rsid w:val="00DA2EBC"/>
    <w:rsid w:val="00DB4736"/>
    <w:rsid w:val="00DF131F"/>
    <w:rsid w:val="00E03B35"/>
    <w:rsid w:val="00E13EFE"/>
    <w:rsid w:val="00F266AA"/>
    <w:rsid w:val="00F7694E"/>
    <w:rsid w:val="00FB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3D0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paragraph" w:styleId="Heading1">
    <w:name w:val="heading 1"/>
    <w:basedOn w:val="Normal"/>
    <w:next w:val="Normal"/>
    <w:link w:val="Heading1Char"/>
    <w:uiPriority w:val="9"/>
    <w:qFormat/>
    <w:rsid w:val="00DF13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22E"/>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F131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8836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paragraph" w:styleId="Heading1">
    <w:name w:val="heading 1"/>
    <w:basedOn w:val="Normal"/>
    <w:next w:val="Normal"/>
    <w:link w:val="Heading1Char"/>
    <w:uiPriority w:val="9"/>
    <w:qFormat/>
    <w:rsid w:val="00DF13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22E"/>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DF131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883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atright.org/about-national-nutrition-month" TargetMode="External"/><Relationship Id="rId7" Type="http://schemas.openxmlformats.org/officeDocument/2006/relationships/hyperlink" Target="https://feedingflockteam.org/" TargetMode="External"/><Relationship Id="rId8" Type="http://schemas.openxmlformats.org/officeDocument/2006/relationships/hyperlink" Target="https://www.aota.org/publications/ot-practice/ot-practice-issues/2019/eating-disorder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1052</Words>
  <Characters>6003</Characters>
  <Application>Microsoft Macintosh Word</Application>
  <DocSecurity>0</DocSecurity>
  <Lines>50</Lines>
  <Paragraphs>14</Paragraphs>
  <ScaleCrop>false</ScaleCrop>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Garvey</dc:creator>
  <cp:keywords/>
  <dc:description/>
  <cp:lastModifiedBy>Kathleen Garvey</cp:lastModifiedBy>
  <cp:revision>19</cp:revision>
  <dcterms:created xsi:type="dcterms:W3CDTF">2025-03-19T01:34:00Z</dcterms:created>
  <dcterms:modified xsi:type="dcterms:W3CDTF">2025-03-20T03:29:00Z</dcterms:modified>
</cp:coreProperties>
</file>