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ns7="http://schemas.openxmlformats.org/drawingml/2006/chartDrawing" xmlns:c="http://schemas.openxmlformats.org/drawingml/2006/chart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ns7="http://schemas.openxmlformats.org/drawingml/2006/chartDrawing" xmlns:c="http://schemas.openxmlformats.org/drawingml/2006/chart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ns7="http://schemas.openxmlformats.org/drawingml/2006/chartDrawing" xmlns:c="http://schemas.openxmlformats.org/drawingml/2006/chart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ns7="http://schemas.openxmlformats.org/drawingml/2006/chartDrawing" xmlns:c="http://schemas.openxmlformats.org/drawingml/2006/chart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(9/12/24)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ns7="http://schemas.openxmlformats.org/drawingml/2006/chartDrawing" xmlns:c="http://schemas.openxmlformats.org/drawingml/2006/chart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ns7="http://schemas.openxmlformats.org/drawingml/2006/chartDrawing" xmlns:c="http://schemas.openxmlformats.org/drawingml/2006/chart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ns7="http://schemas.openxmlformats.org/drawingml/2006/chartDrawing" xmlns:c="http://schemas.openxmlformats.org/drawingml/2006/chart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